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Garamond" w:hAnsi="Garamond" w:cs="Segoe UI"/>
          <w:i/>
        </w:rPr>
      </w:pPr>
      <w:bookmarkStart w:id="0" w:name="_GoBack"/>
      <w:bookmarkEnd w:id="0"/>
      <w:r>
        <w:rPr>
          <w:rFonts w:ascii="Garamond" w:hAnsi="Garamond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262255</wp:posOffset>
            </wp:positionV>
            <wp:extent cx="1888490" cy="590550"/>
            <wp:effectExtent l="0" t="0" r="9525" b="0"/>
            <wp:wrapTopAndBottom/>
            <wp:docPr id="7" name="Obrázok 7" descr="Q:\PORADENSTVO\§43_ODBORNÉ PORADENSKÉ SLUŽBY\IN\urad-p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535979" name="Picture 2" descr="Q:\PORADENSTVO\§43_ODBORNÉ PORADENSKÉ SLUŽBY\IN\urad-pr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Garamond" w:hAnsi="Garamond" w:cs="Segoe UI"/>
          <w:i/>
          <w:lang w:val="uk-UA"/>
        </w:rPr>
      </w:pPr>
    </w:p>
    <w:p>
      <w:pPr>
        <w:jc w:val="center"/>
        <w:rPr>
          <w:rFonts w:ascii="Garamond" w:hAnsi="Garamond" w:cs="Segoe UI"/>
          <w:b/>
          <w:i/>
          <w:color w:val="2E74B5" w:themeColor="accent1" w:themeShade="BF"/>
          <w:sz w:val="32"/>
          <w:szCs w:val="32"/>
        </w:rPr>
      </w:pPr>
      <w:r>
        <w:rPr>
          <w:rFonts w:ascii="Garamond" w:hAnsi="Garamond" w:cs="Segoe UI"/>
          <w:b/>
          <w:i/>
          <w:color w:val="2E74B5" w:themeColor="accent1" w:themeShade="BF"/>
          <w:sz w:val="32"/>
          <w:szCs w:val="32"/>
          <w:lang w:val="uk"/>
        </w:rPr>
        <w:t>PROJEKT „POMÁHAME ODÍDENCOM – PORADENSTVO“/ПРОЄКТ "ДОПОМАГАЄМО БІЖЕНЦЯМ - КОНСУЛЬТАЦІЇ"/</w:t>
      </w:r>
    </w:p>
    <w:p>
      <w:pPr>
        <w:jc w:val="center"/>
        <w:rPr>
          <w:rFonts w:ascii="Garamond" w:hAnsi="Garamond" w:cs="Segoe UI"/>
          <w:b/>
          <w:i/>
          <w:color w:val="2E74B5" w:themeColor="accent1" w:themeShade="BF"/>
          <w:sz w:val="32"/>
          <w:szCs w:val="32"/>
        </w:rPr>
      </w:pPr>
    </w:p>
    <w:p>
      <w:pPr>
        <w:jc w:val="center"/>
        <w:rPr>
          <w:rFonts w:ascii="Garamond" w:hAnsi="Garamond" w:cs="Segoe UI"/>
          <w:b/>
          <w:i/>
          <w:sz w:val="28"/>
          <w:szCs w:val="28"/>
        </w:rPr>
      </w:pPr>
      <w:r>
        <w:rPr>
          <w:rFonts w:ascii="Garamond" w:hAnsi="Garamond" w:cs="Segoe UI"/>
          <w:b/>
          <w:i/>
          <w:sz w:val="28"/>
          <w:szCs w:val="28"/>
          <w:lang w:val="uk"/>
        </w:rPr>
        <w:t>Informačný leták/Інформаційний буклет</w:t>
      </w:r>
    </w:p>
    <w:p>
      <w:pPr>
        <w:jc w:val="center"/>
        <w:rPr>
          <w:rFonts w:ascii="Garamond" w:hAnsi="Garamond" w:cs="Segoe UI"/>
          <w:i/>
          <w:sz w:val="16"/>
          <w:szCs w:val="16"/>
        </w:rPr>
      </w:pPr>
    </w:p>
    <w:p>
      <w:pPr>
        <w:jc w:val="center"/>
        <w:rPr>
          <w:rFonts w:ascii="Garamond" w:hAnsi="Garamond" w:cs="Segoe UI"/>
          <w:i/>
          <w:sz w:val="16"/>
          <w:szCs w:val="16"/>
        </w:rPr>
      </w:pPr>
    </w:p>
    <w:p>
      <w:pPr>
        <w:jc w:val="center"/>
        <w:rPr>
          <w:rFonts w:ascii="Garamond" w:hAnsi="Garamond" w:cs="Segoe UI"/>
          <w:i/>
          <w:sz w:val="16"/>
          <w:szCs w:val="16"/>
        </w:rPr>
      </w:pPr>
    </w:p>
    <w:p>
      <w:pPr>
        <w:pBdr>
          <w:top w:val="single" w:sz="24" w:space="1" w:color="F24F4F"/>
          <w:bottom w:val="single" w:sz="24" w:space="2" w:color="F24F4F"/>
        </w:pBdr>
        <w:jc w:val="center"/>
        <w:rPr>
          <w:rFonts w:ascii="Garamond" w:eastAsiaTheme="minorHAnsi" w:hAnsi="Garamond"/>
          <w:b/>
          <w:i/>
          <w:color w:val="0070C0"/>
        </w:rPr>
      </w:pPr>
      <w:r>
        <w:rPr>
          <w:rFonts w:ascii="Garamond" w:eastAsiaTheme="minorHAnsi" w:hAnsi="Garamond"/>
          <w:b/>
          <w:i/>
          <w:color w:val="0070C0"/>
          <w:lang w:val="uk"/>
        </w:rPr>
        <w:t>Čo sú poradenské služby v rámci projektu „Pomáhame odídencom – poradenstvo“?/Що таке консультаційні послуги в рамках проєкту "Ми допомагаємо біженцям – консультації"?</w:t>
      </w:r>
    </w:p>
    <w:p>
      <w:pPr>
        <w:spacing w:line="240" w:lineRule="atLeast"/>
        <w:jc w:val="both"/>
        <w:rPr>
          <w:rFonts w:ascii="Garamond" w:hAnsi="Garamond" w:cs="Segoe UI"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Poradenské služby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v rámci tohto projektu sú služby úradu práce, sociálnych vecí a rodiny zamerané na poskytnutie základných informácií o slovenskom trhu práce so špecifickým zameraním na konkrétny región, v ktorom bude poradenstvo poskytované. </w:t>
            </w:r>
          </w:p>
          <w:p>
            <w:pPr>
              <w:spacing w:before="60" w:line="240" w:lineRule="atLeast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</w:p>
          <w:p>
            <w:pPr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Poradenský proces pozostáva z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 xml:space="preserve">troch osobných stretnutí, 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každé v rozsahu 3 hodiny, spolu v rozsahu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9 hodín pre jedného odídenca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. Stretnutia môžu byť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individuálne alebo v skupinách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v závislosti od aktuálneho záujmu odídencov a tiež od individuálnych potrieb odídencov. Okrem toho môže byť odídencom v prípade záujmu poskytnuté aj dištančné poradenstvo - telefonicky alebo emailom.</w:t>
            </w:r>
          </w:p>
        </w:tc>
        <w:tc>
          <w:tcPr>
            <w:tcW w:w="4531" w:type="dxa"/>
          </w:tcPr>
          <w:p>
            <w:pPr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Консультаційні послуги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в рамках цього проєкту послуги управління праці, соціальних питань та родини спрямовані на надання базової інформації про ринок праці Словаччини з особливим акцентом на конкретний регіон, в якому будуть надаватися консультації.</w:t>
            </w:r>
          </w:p>
          <w:p>
            <w:pPr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Процес консультування складається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з трьох особистих зустрічей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, кожна тривалістю 3 години,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в цілому 9 годин для одного біженця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.</w:t>
            </w:r>
          </w:p>
          <w:p>
            <w:pPr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Зустрічі можуть проводитися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індивідуально або в групах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залежно від поточних інтересів біженців, а також від індивідуальних потреб біженців. Крім того, у разі зацікавленості, біженців також може бути надана дистанційна консультація - телефоном або електронною поштою.</w:t>
            </w:r>
          </w:p>
        </w:tc>
      </w:tr>
    </w:tbl>
    <w:p>
      <w:pPr>
        <w:spacing w:line="240" w:lineRule="atLeast"/>
        <w:jc w:val="both"/>
        <w:rPr>
          <w:rFonts w:ascii="Garamond" w:hAnsi="Garamond" w:cs="Segoe UI"/>
          <w:sz w:val="20"/>
          <w:szCs w:val="20"/>
        </w:rPr>
        <w:sectPr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>
      <w:pPr>
        <w:pStyle w:val="Zvraznencitcia"/>
        <w:pBdr>
          <w:left w:val="none" w:sz="0" w:space="0" w:color="auto"/>
          <w:bottom w:val="single" w:sz="4" w:space="4" w:color="F24F4F"/>
        </w:pBdr>
        <w:spacing w:before="0" w:line="240" w:lineRule="atLeast"/>
        <w:ind w:right="46"/>
        <w:jc w:val="center"/>
        <w:rPr>
          <w:rFonts w:ascii="Garamond" w:eastAsiaTheme="minorHAnsi" w:hAnsi="Garamond"/>
          <w:color w:val="2E74B5" w:themeColor="accent1" w:themeShade="BF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2E74B5" w:themeColor="accent1" w:themeShade="BF"/>
          <w:sz w:val="24"/>
          <w:szCs w:val="24"/>
          <w:lang w:val="uk" w:bidi="ar-SA"/>
          <w14:ligatures w14:val="none"/>
          <w14:numForm w14:val="default"/>
        </w:rPr>
        <w:t>Komu je poradenstvo určené?/Кому адресовані консультації?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spacing w:line="240" w:lineRule="atLeas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Pre štátnych občanov Ukrajiny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a ich rodinných príslušníkov, ktorí majú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v SR dočasné útočisko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t. j. osobám, ktoré:</w:t>
            </w: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uk"/>
              </w:rPr>
              <w:t>majú vydaný dokladom o tolerovanom pobyte na území SR s označením „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uk"/>
              </w:rPr>
              <w:t>ODÍDENEC</w:t>
            </w:r>
            <w:r>
              <w:rPr>
                <w:rFonts w:ascii="Garamond" w:hAnsi="Garamond"/>
                <w:sz w:val="20"/>
                <w:szCs w:val="20"/>
                <w:lang w:val="uk"/>
              </w:rPr>
              <w:t>“,</w:t>
            </w:r>
          </w:p>
          <w:p>
            <w:pPr>
              <w:pStyle w:val="Odsekzoznamu"/>
              <w:spacing w:line="240" w:lineRule="atLeast"/>
              <w:ind w:left="284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uk"/>
              </w:rPr>
              <w:t xml:space="preserve">sú registrované na úrade práce, sociálnych vecí a rodiny ako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uk"/>
              </w:rPr>
              <w:t>odídenci hľadajúci si zamestnanie</w:t>
            </w:r>
            <w:r>
              <w:rPr>
                <w:rFonts w:ascii="Garamond" w:hAnsi="Garamond"/>
                <w:bCs/>
                <w:sz w:val="20"/>
                <w:szCs w:val="20"/>
                <w:lang w:val="uk"/>
              </w:rPr>
              <w:t>,</w:t>
            </w:r>
          </w:p>
          <w:p>
            <w:pPr>
              <w:pStyle w:val="Odsekzoznamu"/>
              <w:spacing w:line="240" w:lineRule="atLeast"/>
              <w:ind w:left="284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uk"/>
              </w:rPr>
              <w:t xml:space="preserve">prejavia </w:t>
            </w:r>
            <w:r>
              <w:rPr>
                <w:rFonts w:ascii="Garamond" w:hAnsi="Garamond"/>
                <w:b/>
                <w:sz w:val="20"/>
                <w:szCs w:val="20"/>
                <w:lang w:val="uk"/>
              </w:rPr>
              <w:t xml:space="preserve">záujem o poskytnutie poradenstva </w:t>
            </w:r>
            <w:r>
              <w:rPr>
                <w:rFonts w:ascii="Garamond" w:hAnsi="Garamond"/>
                <w:sz w:val="20"/>
                <w:szCs w:val="20"/>
                <w:lang w:val="uk"/>
              </w:rPr>
              <w:t>v rámci tohto projektu.</w:t>
            </w:r>
          </w:p>
        </w:tc>
        <w:tc>
          <w:tcPr>
            <w:tcW w:w="4531" w:type="dxa"/>
          </w:tcPr>
          <w:p>
            <w:pPr>
              <w:spacing w:line="259" w:lineRule="auto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Для громадян України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членів їх сімей, які мають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тимчасовий притулок у Словаччині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тобто осіб, які:</w:t>
            </w: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uk"/>
              </w:rPr>
              <w:t xml:space="preserve">їм видали документ про допустиме перебування на території Словацької Республіки з позначкою </w:t>
            </w:r>
            <w:r>
              <w:rPr>
                <w:rFonts w:ascii="Garamond" w:hAnsi="Garamond"/>
                <w:b/>
                <w:sz w:val="20"/>
                <w:szCs w:val="20"/>
              </w:rPr>
              <w:t>„</w:t>
            </w:r>
            <w:r>
              <w:rPr>
                <w:rFonts w:ascii="Garamond" w:hAnsi="Garamond"/>
                <w:b/>
                <w:sz w:val="20"/>
                <w:szCs w:val="20"/>
                <w:lang w:val="uk"/>
              </w:rPr>
              <w:t>БІЖЕНЕЦЬ“</w:t>
            </w:r>
            <w:r>
              <w:rPr>
                <w:rFonts w:ascii="Garamond" w:hAnsi="Garamond"/>
                <w:sz w:val="20"/>
                <w:szCs w:val="20"/>
                <w:lang w:val="uk"/>
              </w:rPr>
              <w:t>,</w:t>
            </w: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uk"/>
              </w:rPr>
              <w:t xml:space="preserve">зареєстровані в управлінні праці, соціальних справ та родини як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uk"/>
              </w:rPr>
              <w:t>біженці, які шукають роботу</w:t>
            </w:r>
            <w:r>
              <w:rPr>
                <w:rFonts w:ascii="Garamond" w:hAnsi="Garamond"/>
                <w:bCs/>
                <w:sz w:val="20"/>
                <w:szCs w:val="20"/>
                <w:lang w:val="uk"/>
              </w:rPr>
              <w:t>,</w:t>
            </w:r>
          </w:p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  <w:lang w:val="uk-UA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uk"/>
              </w:rPr>
              <w:t xml:space="preserve">будуть зацікавлені у наданні консультацій </w:t>
            </w:r>
            <w:r>
              <w:rPr>
                <w:rFonts w:ascii="Garamond" w:hAnsi="Garamond"/>
                <w:sz w:val="20"/>
                <w:szCs w:val="20"/>
                <w:lang w:val="uk"/>
              </w:rPr>
              <w:t>в рамках цього проєкту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>
            <w:pPr>
              <w:pStyle w:val="Odsekzoznamu"/>
              <w:spacing w:line="240" w:lineRule="atLeast"/>
              <w:ind w:left="284"/>
              <w:jc w:val="both"/>
              <w:rPr>
                <w:rFonts w:ascii="Garamond" w:hAnsi="Garamond" w:cs="Segoe UI"/>
                <w:b/>
                <w:sz w:val="20"/>
                <w:szCs w:val="20"/>
                <w:lang w:val="uk-UA"/>
              </w:rPr>
            </w:pPr>
          </w:p>
        </w:tc>
      </w:tr>
    </w:tbl>
    <w:p>
      <w:pPr>
        <w:pStyle w:val="Zvraznencitcia"/>
        <w:pBdr>
          <w:left w:val="none" w:sz="0" w:space="0" w:color="auto"/>
          <w:bottom w:val="single" w:sz="4" w:space="4" w:color="F24F4F"/>
        </w:pBdr>
        <w:spacing w:before="0" w:line="240" w:lineRule="atLeast"/>
        <w:ind w:right="46"/>
        <w:jc w:val="center"/>
        <w:rPr>
          <w:rFonts w:ascii="Garamond" w:eastAsiaTheme="minorHAnsi" w:hAnsi="Garamond"/>
          <w:color w:val="0070C0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0070C0"/>
          <w:sz w:val="24"/>
          <w:szCs w:val="24"/>
          <w:lang w:val="uk" w:bidi="ar-SA"/>
          <w14:ligatures w14:val="none"/>
          <w14:numForm w14:val="default"/>
        </w:rPr>
        <w:t>Čo je obsahom poradenstva?/</w:t>
      </w:r>
      <w:r>
        <w:rPr>
          <w:rFonts w:ascii="Garamond" w:eastAsiaTheme="minorHAnsi" w:hAnsi="Garamond"/>
          <w:color w:val="2E74B5" w:themeColor="accent1" w:themeShade="BF"/>
          <w:sz w:val="24"/>
          <w:szCs w:val="24"/>
          <w:lang w:val="uk" w:bidi="ar-SA"/>
          <w14:ligatures w14:val="none"/>
          <w14:numForm w14:val="default"/>
        </w:rPr>
        <w:t>Який зміст консультацій</w:t>
      </w:r>
      <w:r>
        <w:rPr>
          <w:rFonts w:ascii="Garamond" w:eastAsiaTheme="minorHAnsi" w:hAnsi="Garamond"/>
          <w:color w:val="2E74B5" w:themeColor="accent1" w:themeShade="BF"/>
          <w:sz w:val="24"/>
          <w:szCs w:val="24"/>
          <w:lang w:bidi="ar-SA"/>
          <w14:ligatures w14:val="none"/>
          <w14:numForm w14:val="default"/>
        </w:rPr>
        <w:t>?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zisťovanie profesionálnych cieľov odídenca a párovanie s 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možnosťami trhu práce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informácie o spôsoboch a možnostiach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komunikácie s potenciálnym zamestnávateľom,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lastRenderedPageBreak/>
              <w:t>podpora pri kontakte s potenciálnym zamestnávateľom, neziskovými alebo inými organizáciami v rámci procesu integrácie odídenca do aktívneho života,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uk"/>
              </w:rPr>
              <w:t xml:space="preserve">pomoc pri vypracovaní základných dokumentov potrebných pri hľadaní zamestnania, 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informácie o 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aktívnych opatreniach na trhu práce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napr. o možnosti ďalšieho vzdelávania, a podpora pri zaraďovaní do týchto opatrení,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120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pomoc pri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riešení prekážok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brániacich integrácii na trh práce.</w:t>
            </w:r>
          </w:p>
        </w:tc>
        <w:tc>
          <w:tcPr>
            <w:tcW w:w="4531" w:type="dxa"/>
          </w:tcPr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lastRenderedPageBreak/>
              <w:t xml:space="preserve">з'ясування професійних цілей і зіставлення з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можливостями на ринку праці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інформація про способи та можливості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спілкування з потенційним роботодавцем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lastRenderedPageBreak/>
              <w:t>підтримка в контакті з потенційним роботодавцем, некомерційними або іншими організаціями в рамках процесу інтеграції біженців в активне життя,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допомога в оформленні основних документів, необхідних для пошуку роботи,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інформація про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активні заходи на ринку праці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наприклад, про можливість подальшої освіти, і підтримка включення в ці заходи,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допомога в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усуненні перешкод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що перешкоджають інтеграції на ринку праці.</w:t>
            </w:r>
          </w:p>
          <w:p>
            <w:pPr>
              <w:pStyle w:val="Odsekzoznamu"/>
              <w:ind w:left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</w:p>
        </w:tc>
      </w:tr>
    </w:tbl>
    <w:p>
      <w:pPr>
        <w:pStyle w:val="Zvraznencitcia"/>
        <w:pBdr>
          <w:left w:val="none" w:sz="0" w:space="0" w:color="auto"/>
          <w:bottom w:val="single" w:sz="4" w:space="4" w:color="F24F4F"/>
        </w:pBdr>
        <w:spacing w:before="0" w:line="240" w:lineRule="atLeast"/>
        <w:ind w:right="46"/>
        <w:jc w:val="center"/>
        <w:rPr>
          <w:rFonts w:ascii="Garamond" w:eastAsiaTheme="minorHAnsi" w:hAnsi="Garamond"/>
          <w:color w:val="0070C0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0070C0"/>
          <w:sz w:val="24"/>
          <w:szCs w:val="24"/>
          <w:lang w:val="uk" w:bidi="ar-SA"/>
          <w14:ligatures w14:val="none"/>
          <w14:numForm w14:val="default"/>
        </w:rPr>
        <w:lastRenderedPageBreak/>
        <w:t>Absolvovaním poradenstva získate</w:t>
      </w:r>
      <w:r>
        <w:rPr>
          <w:rFonts w:ascii="Garamond" w:eastAsiaTheme="minorHAnsi" w:hAnsi="Garamond"/>
          <w:color w:val="0070C0"/>
          <w:sz w:val="24"/>
          <w:szCs w:val="24"/>
          <w:lang w:bidi="ar-SA"/>
          <w14:ligatures w14:val="none"/>
          <w14:numForm w14:val="default"/>
        </w:rPr>
        <w:t>:</w:t>
      </w:r>
      <w:r>
        <w:rPr>
          <w:rFonts w:ascii="Garamond" w:eastAsiaTheme="minorHAnsi" w:hAnsi="Garamond"/>
          <w:color w:val="0070C0"/>
          <w:sz w:val="24"/>
          <w:szCs w:val="24"/>
          <w:lang w:val="uk" w:bidi="ar-SA"/>
          <w14:ligatures w14:val="none"/>
          <w14:numForm w14:val="default"/>
        </w:rPr>
        <w:t>/Пройшовши консультацію</w:t>
      </w:r>
      <w:r>
        <w:rPr>
          <w:rFonts w:ascii="Garamond" w:eastAsiaTheme="minorHAnsi" w:hAnsi="Garamond"/>
          <w:color w:val="0070C0"/>
          <w:sz w:val="24"/>
          <w:szCs w:val="24"/>
          <w:lang w:bidi="ar-SA"/>
          <w14:ligatures w14:val="none"/>
          <w14:numForm w14:val="default"/>
        </w:rPr>
        <w:t xml:space="preserve"> </w:t>
      </w:r>
      <w:r>
        <w:rPr>
          <w:rFonts w:ascii="Garamond" w:eastAsiaTheme="minorHAnsi" w:hAnsi="Garamond"/>
          <w:color w:val="0070C0"/>
          <w:sz w:val="24"/>
          <w:szCs w:val="24"/>
          <w:lang w:val="uk" w:bidi="ar-SA"/>
          <w14:ligatures w14:val="none"/>
          <w14:numForm w14:val="default"/>
        </w:rPr>
        <w:t>Ви отримаєте: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prehľad o trhu práce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v rámci regiónu, resp. v SR,</w:t>
            </w:r>
          </w:p>
          <w:p>
            <w:pPr>
              <w:pStyle w:val="Odsekzoznamu"/>
              <w:spacing w:after="120" w:line="240" w:lineRule="atLeast"/>
              <w:ind w:left="284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informácie o možnostiach pracovať, prípadne vzdelávať sa,</w:t>
            </w:r>
          </w:p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podporu pri komunikácii so zamestnávateľom,</w:t>
            </w:r>
          </w:p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ďalšie informácie o ponukách služieb zamestnanosti.</w:t>
            </w:r>
          </w:p>
        </w:tc>
        <w:tc>
          <w:tcPr>
            <w:tcW w:w="4531" w:type="dxa"/>
          </w:tcPr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 xml:space="preserve">огляд ринку праці 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у регіоні, або Словацькій Республіці,</w:t>
            </w:r>
          </w:p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інформація про можливості працювати або вчитися,</w:t>
            </w:r>
          </w:p>
          <w:p>
            <w:pPr>
              <w:pStyle w:val="Odsekzoznamu"/>
              <w:numPr>
                <w:ilvl w:val="0"/>
                <w:numId w:val="10"/>
              </w:numPr>
              <w:spacing w:after="120"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підтримку у спілкуванні з роботодавцем,</w:t>
            </w:r>
          </w:p>
          <w:p>
            <w:pPr>
              <w:pStyle w:val="Odsekzoznamu"/>
              <w:numPr>
                <w:ilvl w:val="0"/>
                <w:numId w:val="10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дізнаєтеся більше про пропозиції служб зайнятості.</w:t>
            </w:r>
          </w:p>
        </w:tc>
      </w:tr>
    </w:tbl>
    <w:p>
      <w:pPr>
        <w:pStyle w:val="Zvraznencitcia"/>
        <w:pBdr>
          <w:left w:val="none" w:sz="0" w:space="0" w:color="auto"/>
          <w:bottom w:val="single" w:sz="4" w:space="4" w:color="F24F4F"/>
        </w:pBdr>
        <w:spacing w:line="240" w:lineRule="atLeast"/>
        <w:ind w:right="45"/>
        <w:jc w:val="center"/>
        <w:rPr>
          <w:rFonts w:ascii="Garamond" w:eastAsiaTheme="minorHAnsi" w:hAnsi="Garamond"/>
          <w:color w:val="0070C0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0070C0"/>
          <w:sz w:val="24"/>
          <w:szCs w:val="24"/>
          <w:lang w:val="uk" w:bidi="ar-SA"/>
          <w14:ligatures w14:val="none"/>
          <w14:numForm w14:val="default"/>
        </w:rPr>
        <w:t>Finančný príspevok:</w:t>
      </w:r>
      <w:r>
        <w:rPr>
          <w:rFonts w:ascii="Garamond" w:eastAsiaTheme="minorHAnsi" w:hAnsi="Garamond"/>
          <w:color w:val="2E74B5" w:themeColor="accent1" w:themeShade="BF"/>
          <w:sz w:val="24"/>
          <w:szCs w:val="24"/>
          <w:lang w:val="uk" w:bidi="ar-SA"/>
          <w14:ligatures w14:val="none"/>
          <w14:numForm w14:val="default"/>
        </w:rPr>
        <w:t>/Фінансовий внесок</w:t>
      </w:r>
      <w:r>
        <w:rPr>
          <w:rFonts w:ascii="Garamond" w:eastAsiaTheme="minorHAnsi" w:hAnsi="Garamond"/>
          <w:color w:val="2E74B5" w:themeColor="accent1" w:themeShade="BF"/>
          <w:sz w:val="24"/>
          <w:szCs w:val="24"/>
          <w:lang w:bidi="ar-SA"/>
          <w14:ligatures w14:val="none"/>
          <w14:numForm w14:val="default"/>
        </w:rPr>
        <w:t>:</w:t>
      </w:r>
    </w:p>
    <w:p>
      <w:pPr>
        <w:spacing w:line="240" w:lineRule="atLeast"/>
        <w:jc w:val="center"/>
        <w:rPr>
          <w:rFonts w:ascii="Garamond" w:hAnsi="Garamond" w:cs="Segoe UI"/>
          <w:b/>
          <w:sz w:val="20"/>
          <w:szCs w:val="20"/>
        </w:rPr>
        <w:sectPr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spacing w:before="120" w:line="240" w:lineRule="atLeast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Za každú osobnú účasť na poradenstve na úrade práce, sociálnych vecí a rodiny získate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príspevok na cestovné a stravné vo výške 4,46 eur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maximálne vo výške 13,38 eur (reálna výška príspevku závisí od počtu dní, počas ktorých sa osobne zúčastníte poradenstva).</w:t>
            </w:r>
            <w:r>
              <w:rPr>
                <w:rFonts w:ascii="Garamond" w:hAnsi="Garamond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>
            <w:pPr>
              <w:spacing w:before="120" w:line="240" w:lineRule="atLeast"/>
              <w:jc w:val="both"/>
              <w:rPr>
                <w:rFonts w:ascii="Garamond" w:hAnsi="Garamond" w:cs="Segoe UI"/>
                <w:sz w:val="20"/>
                <w:szCs w:val="20"/>
                <w:lang w:val="uk-UA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За кожну особисту участь в консультуванні в управлінні праці, соціальних справ та родини ви будете отримувати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внесок на проїзд та харчування в розмірі 4,46 євро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, максимум 13,38 євро (реальна сума внеску залежить від кількості днів, протягом яких ви особисто відвідуєте консультацію).</w:t>
            </w:r>
          </w:p>
        </w:tc>
      </w:tr>
    </w:tbl>
    <w:p>
      <w:pPr>
        <w:pStyle w:val="Zvraznencitcia"/>
        <w:pBdr>
          <w:left w:val="none" w:sz="0" w:space="0" w:color="auto"/>
          <w:bottom w:val="single" w:sz="4" w:space="4" w:color="F24F4F"/>
        </w:pBdr>
        <w:spacing w:before="120" w:line="240" w:lineRule="atLeast"/>
        <w:ind w:right="46"/>
        <w:jc w:val="center"/>
        <w:rPr>
          <w:rFonts w:ascii="Garamond" w:eastAsiaTheme="minorHAnsi" w:hAnsi="Garamond"/>
          <w:color w:val="2E74B5" w:themeColor="accent1" w:themeShade="BF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2E74B5" w:themeColor="accent1" w:themeShade="BF"/>
          <w:sz w:val="24"/>
          <w:szCs w:val="24"/>
          <w:lang w:val="uk" w:bidi="ar-SA"/>
          <w14:ligatures w14:val="none"/>
          <w14:numForm w14:val="default"/>
        </w:rPr>
        <w:t>Kto poskytuje poradenstvo?/Хто надає консультації?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tabs>
                <w:tab w:val="num" w:pos="284"/>
              </w:tabs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Poradenstvo poskytujú poradcovia úradu práce, sociálnych vecí a rodiny v spolupráci s poradcami – komunikátormi, ktorí zabezpečujú komunikáciu v slovenskom aj ukrajinskom jazyku. </w:t>
            </w:r>
          </w:p>
          <w:p>
            <w:pPr>
              <w:tabs>
                <w:tab w:val="num" w:pos="284"/>
              </w:tabs>
              <w:spacing w:before="60"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Poradenstvo bude poskytované na oddeleniach poradenstva a vzdelávania, resp. oddeleniach aktívnych opatrení trhu práce a poradenstva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na všetkých úradoch práce, sociálnych vecí a rodiny na Slovensku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. </w:t>
            </w:r>
          </w:p>
        </w:tc>
        <w:tc>
          <w:tcPr>
            <w:tcW w:w="4531" w:type="dxa"/>
          </w:tcPr>
          <w:p>
            <w:pPr>
              <w:tabs>
                <w:tab w:val="num" w:pos="284"/>
              </w:tabs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  <w:lang w:val="uk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Консультації надаються консультантами відділу праці, соціальних справ та родини у співпраці з консультантами – комунікаторами, які забезпечують спілкування словацькою та українською мовами.</w:t>
            </w:r>
          </w:p>
          <w:p>
            <w:pPr>
              <w:tabs>
                <w:tab w:val="num" w:pos="284"/>
              </w:tabs>
              <w:spacing w:line="240" w:lineRule="atLeast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Консультації надаватимуться у відділах консультування та освіти або відділах активних заходів на ринку праці та консультативні </w:t>
            </w:r>
            <w:r>
              <w:rPr>
                <w:rFonts w:ascii="Garamond" w:hAnsi="Garamond" w:cs="Segoe UI"/>
                <w:b/>
                <w:sz w:val="20"/>
                <w:szCs w:val="20"/>
                <w:lang w:val="uk"/>
              </w:rPr>
              <w:t>підрозділи у всіх управліннях праці, соціальних справ та родини Словаччини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>.</w:t>
            </w:r>
          </w:p>
        </w:tc>
      </w:tr>
    </w:tbl>
    <w:p>
      <w:pPr>
        <w:pStyle w:val="Zvraznencitcia"/>
        <w:pBdr>
          <w:left w:val="none" w:sz="0" w:space="0" w:color="auto"/>
          <w:bottom w:val="single" w:sz="4" w:space="4" w:color="F24F4F"/>
        </w:pBdr>
        <w:spacing w:before="120" w:line="240" w:lineRule="atLeast"/>
        <w:ind w:right="46"/>
        <w:jc w:val="center"/>
        <w:rPr>
          <w:rFonts w:ascii="Garamond" w:eastAsiaTheme="minorHAnsi" w:hAnsi="Garamond"/>
          <w:color w:val="2E74B5" w:themeColor="accent1" w:themeShade="BF"/>
          <w:sz w:val="24"/>
          <w:szCs w:val="24"/>
          <w:lang w:bidi="ar-SA"/>
          <w14:ligatures w14:val="none"/>
          <w14:numForm w14:val="default"/>
        </w:rPr>
      </w:pPr>
      <w:r>
        <w:rPr>
          <w:rFonts w:ascii="Garamond" w:eastAsiaTheme="minorHAnsi" w:hAnsi="Garamond"/>
          <w:color w:val="2E74B5" w:themeColor="accent1" w:themeShade="BF"/>
          <w:sz w:val="24"/>
          <w:szCs w:val="24"/>
          <w:lang w:val="uk" w:bidi="ar-SA"/>
          <w14:ligatures w14:val="none"/>
          <w14:numForm w14:val="default"/>
        </w:rPr>
        <w:t>Ako sa môžete prihlásiť do poradenstva?/Як ви можете записатися на консультацію?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b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Vyzdvihnite si formulár žiadosti na úrade práce,  sociálnych vecí a rodiny, na ktorom ste sa registrovali. Formulár je k dispozícii na stiahnutie aj na stránke </w:t>
            </w:r>
            <w:hyperlink r:id="rId9" w:history="1">
              <w:r>
                <w:rPr>
                  <w:rStyle w:val="Hypertextovprepojenie"/>
                  <w:rFonts w:ascii="Garamond" w:hAnsi="Garamond"/>
                  <w:b/>
                  <w:bCs/>
                  <w:sz w:val="20"/>
                  <w:szCs w:val="20"/>
                  <w:lang w:val="uk"/>
                </w:rPr>
                <w:t>www.upsvr.gov.sk</w:t>
              </w:r>
            </w:hyperlink>
            <w:r>
              <w:rPr>
                <w:rStyle w:val="Hypertextovprepojenie"/>
                <w:rFonts w:ascii="Garamond" w:hAnsi="Garamond"/>
                <w:bCs/>
                <w:sz w:val="20"/>
                <w:szCs w:val="20"/>
                <w:lang w:val="uk"/>
              </w:rPr>
              <w:t>.</w:t>
            </w:r>
            <w:r>
              <w:rPr>
                <w:rFonts w:ascii="Garamond" w:hAnsi="Garamond" w:cs="Segoe UI"/>
                <w:sz w:val="20"/>
                <w:szCs w:val="20"/>
                <w:lang w:val="uk"/>
              </w:rPr>
              <w:t xml:space="preserve"> Žiadosť môžete vyplniť a podať priamo na úrade práce, sociálnych vecí a rodiny.</w:t>
            </w:r>
          </w:p>
        </w:tc>
        <w:tc>
          <w:tcPr>
            <w:tcW w:w="4531" w:type="dxa"/>
          </w:tcPr>
          <w:p>
            <w:pPr>
              <w:pStyle w:val="Odsekzoznamu"/>
              <w:numPr>
                <w:ilvl w:val="0"/>
                <w:numId w:val="8"/>
              </w:numPr>
              <w:spacing w:line="240" w:lineRule="atLeast"/>
              <w:ind w:left="284" w:hanging="284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  <w:lang w:val="uk"/>
              </w:rPr>
              <w:t>Візьміть бланк заяви в управлінні праці, соціальних справ та родини, на якому ви зареєструвалися. Форма також доступна для скачування на сайті www.upsvr.gov.sk . Ви можете заповнити та відправити свою заяву безпосередньо в управління праці, соціальних справ та родини.</w:t>
            </w:r>
          </w:p>
          <w:p>
            <w:pPr>
              <w:rPr>
                <w:rFonts w:eastAsiaTheme="minorHAnsi"/>
                <w:lang w:eastAsia="en-US"/>
              </w:rPr>
            </w:pPr>
          </w:p>
        </w:tc>
      </w:tr>
    </w:tbl>
    <w:p>
      <w:pPr>
        <w:rPr>
          <w:rFonts w:eastAsiaTheme="minorHAnsi"/>
          <w:lang w:eastAsia="en-US"/>
        </w:rPr>
      </w:pPr>
    </w:p>
    <w:sectPr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9616900"/>
      <w:docPartObj>
        <w:docPartGallery w:val="Page Numbers (Top of Page)"/>
        <w:docPartUnique/>
      </w:docPartObj>
    </w:sdtPr>
    <w:sdtContent>
      <w:p>
        <w:pPr>
          <w:pStyle w:val="Pt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Strana</w:t>
        </w:r>
        <w:r>
          <w:rPr>
            <w:sz w:val="18"/>
            <w:szCs w:val="18"/>
            <w:lang w:val="uk-UA"/>
          </w:rPr>
          <w:t>/Сторінка</w:t>
        </w:r>
        <w:r>
          <w:rPr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</w:t>
        </w:r>
        <w:r>
          <w:rPr>
            <w:sz w:val="18"/>
            <w:szCs w:val="18"/>
            <w:lang w:val="uk-UA"/>
          </w:rPr>
          <w:t>/з</w:t>
        </w:r>
        <w:r>
          <w:rPr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</w:p>
    </w:sdtContent>
  </w:sdt>
  <w:p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E55"/>
    <w:multiLevelType w:val="hybridMultilevel"/>
    <w:tmpl w:val="EBD2667A"/>
    <w:lvl w:ilvl="0" w:tplc="1F24FFE6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C0DA1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65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3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CA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E1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2F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C8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7E3"/>
    <w:multiLevelType w:val="hybridMultilevel"/>
    <w:tmpl w:val="25CEBF36"/>
    <w:lvl w:ilvl="0" w:tplc="A6CE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3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06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A7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3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E5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8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03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D28"/>
    <w:multiLevelType w:val="hybridMultilevel"/>
    <w:tmpl w:val="5ACE1AF2"/>
    <w:lvl w:ilvl="0" w:tplc="B170CC34">
      <w:start w:val="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A420E3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B7018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6AF0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EACB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DEF1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7EDD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CE71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3C6D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56119"/>
    <w:multiLevelType w:val="hybridMultilevel"/>
    <w:tmpl w:val="7B9C720E"/>
    <w:lvl w:ilvl="0" w:tplc="E94CC778">
      <w:start w:val="10"/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C9FAF154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D77C4462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D1E86572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37EF28A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9C47B04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D8224E00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BFFCA3C8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99C0D46C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42B900A6"/>
    <w:multiLevelType w:val="hybridMultilevel"/>
    <w:tmpl w:val="19ECE0EC"/>
    <w:lvl w:ilvl="0" w:tplc="D46EFF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2767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A0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C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0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02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5DB"/>
    <w:multiLevelType w:val="hybridMultilevel"/>
    <w:tmpl w:val="1D0CD100"/>
    <w:lvl w:ilvl="0" w:tplc="B170CC34">
      <w:start w:val="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72F2F"/>
    <w:multiLevelType w:val="hybridMultilevel"/>
    <w:tmpl w:val="CA5CC86E"/>
    <w:lvl w:ilvl="0" w:tplc="4E2E90C0">
      <w:start w:val="10"/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9B48B572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88C44430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6B3AFEEA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E7F2C802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76AC2CB2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9348514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D9C28CCA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AAE0DB72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4DAB6104"/>
    <w:multiLevelType w:val="hybridMultilevel"/>
    <w:tmpl w:val="E43A229A"/>
    <w:lvl w:ilvl="0" w:tplc="ACA6E1EA"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8814F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60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C0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47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22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D6FD9"/>
    <w:multiLevelType w:val="hybridMultilevel"/>
    <w:tmpl w:val="2EBC43D0"/>
    <w:lvl w:ilvl="0" w:tplc="5BE605E6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82EC3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A3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A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5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EF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AA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8D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3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7409"/>
    <w:multiLevelType w:val="hybridMultilevel"/>
    <w:tmpl w:val="9530D0D2"/>
    <w:lvl w:ilvl="0" w:tplc="AB6CE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ACAF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5881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1A3C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083C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DCEC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CC72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62FE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908B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212ED"/>
    <w:multiLevelType w:val="hybridMultilevel"/>
    <w:tmpl w:val="5BAAEC46"/>
    <w:lvl w:ilvl="0" w:tplc="4BC8B39E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F1FE2"/>
    <w:multiLevelType w:val="hybridMultilevel"/>
    <w:tmpl w:val="8ED63938"/>
    <w:lvl w:ilvl="0" w:tplc="EC56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8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A4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4C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A7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E6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4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7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left w:val="single" w:sz="48" w:space="13" w:color="ED7D31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F24F4F"/>
      <w:sz w:val="26"/>
      <w:szCs w:val="22"/>
      <w:lang w:eastAsia="en-US" w:bidi="hi-IN"/>
      <w14:ligatures w14:val="standard"/>
      <w14:numForm w14:val="oldStyle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eastAsiaTheme="minorEastAsia"/>
      <w:b/>
      <w:bCs/>
      <w:i/>
      <w:iCs/>
      <w:color w:val="F24F4F"/>
      <w:sz w:val="26"/>
      <w:lang w:bidi="hi-IN"/>
      <w14:ligatures w14:val="standard"/>
      <w14:numForm w14:val="oldStyle"/>
    </w:rPr>
  </w:style>
  <w:style w:type="paragraph" w:styleId="Odsekzoznamu">
    <w:name w:val="List Paragraph"/>
    <w:aliases w:val="List Paragraph_0,Odsek zoznamu1,Odsek zoznamu2,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List Paragraph_0 Char,Odsek zoznamu1 Char,Odsek zoznamu2 Char,body Char"/>
    <w:basedOn w:val="Predvolenpsmoodseku"/>
    <w:link w:val="Odsekzoznamu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svr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2022-05-19T08:10:00Z</dcterms:created>
  <dcterms:modified xsi:type="dcterms:W3CDTF">2022-05-19T08:11:00Z</dcterms:modified>
</cp:coreProperties>
</file>